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486E7B98" w:rsidR="00145F11" w:rsidRPr="00931295" w:rsidRDefault="00FE7792" w:rsidP="00D32B7D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4F5DA7">
              <w:t>283895/2022-ČRA</w:t>
            </w: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3B49793C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AD4B30" w:rsidRPr="00EF63AA">
              <w:rPr>
                <w:rFonts w:ascii="Georgia" w:hAnsi="Georgia"/>
                <w:b/>
                <w:bCs/>
                <w:sz w:val="22"/>
                <w:szCs w:val="22"/>
              </w:rPr>
              <w:t>Zlepšení</w:t>
            </w:r>
            <w:r w:rsidR="00AD4B30" w:rsidRPr="003A57A1">
              <w:rPr>
                <w:rFonts w:ascii="Georgia" w:hAnsi="Georgia"/>
                <w:b/>
                <w:bCs/>
                <w:sz w:val="22"/>
                <w:szCs w:val="22"/>
              </w:rPr>
              <w:t xml:space="preserve"> kvality středoškolského vzdělávání v Kambodži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4F5DA7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4F5DA7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D4B30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32B7D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1278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33</cp:revision>
  <dcterms:created xsi:type="dcterms:W3CDTF">2021-06-09T09:37:00Z</dcterms:created>
  <dcterms:modified xsi:type="dcterms:W3CDTF">2022-12-15T14:43:00Z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